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sidR="00294FAB">
        <w:rPr>
          <w:rFonts w:hint="eastAsia"/>
          <w:sz w:val="24"/>
          <w:szCs w:val="24"/>
        </w:rPr>
        <w:t>⑬</w:t>
      </w:r>
    </w:p>
    <w:p w:rsidR="004E5726" w:rsidRDefault="004E5726" w:rsidP="004E5726">
      <w:pPr>
        <w:jc w:val="center"/>
        <w:rPr>
          <w:sz w:val="24"/>
          <w:szCs w:val="24"/>
        </w:rPr>
      </w:pPr>
    </w:p>
    <w:p w:rsidR="004E5726" w:rsidRPr="002F195E" w:rsidRDefault="004E5726" w:rsidP="004E5726">
      <w:pPr>
        <w:jc w:val="center"/>
        <w:rPr>
          <w:b/>
          <w:sz w:val="24"/>
          <w:szCs w:val="24"/>
        </w:rPr>
      </w:pPr>
      <w:r w:rsidRPr="002F195E">
        <w:rPr>
          <w:rFonts w:hint="eastAsia"/>
          <w:b/>
          <w:sz w:val="24"/>
          <w:szCs w:val="24"/>
        </w:rPr>
        <w:t>地震防災</w:t>
      </w:r>
      <w:r w:rsidR="003D2A9A" w:rsidRPr="002F195E">
        <w:rPr>
          <w:rFonts w:hint="eastAsia"/>
          <w:b/>
          <w:sz w:val="24"/>
          <w:szCs w:val="24"/>
        </w:rPr>
        <w:t xml:space="preserve">　</w:t>
      </w:r>
      <w:r w:rsidRPr="002F195E">
        <w:rPr>
          <w:rFonts w:hint="eastAsia"/>
          <w:b/>
          <w:sz w:val="24"/>
          <w:szCs w:val="24"/>
        </w:rPr>
        <w:t>学習指導案</w:t>
      </w:r>
    </w:p>
    <w:p w:rsidR="004E5726" w:rsidRDefault="004E5726" w:rsidP="004E5726">
      <w:pPr>
        <w:jc w:val="right"/>
      </w:pPr>
    </w:p>
    <w:p w:rsidR="004E5726" w:rsidRDefault="004E5726" w:rsidP="004E5726">
      <w:pPr>
        <w:jc w:val="right"/>
      </w:pPr>
      <w:r>
        <w:rPr>
          <w:rFonts w:hint="eastAsia"/>
        </w:rPr>
        <w:t>年　月　日（　）第　校時</w:t>
      </w:r>
    </w:p>
    <w:p w:rsidR="004E5726" w:rsidRDefault="004E5726" w:rsidP="004E5726">
      <w:pPr>
        <w:wordWrap w:val="0"/>
        <w:jc w:val="right"/>
      </w:pPr>
      <w:r>
        <w:rPr>
          <w:rFonts w:hint="eastAsia"/>
        </w:rPr>
        <w:t>学年</w:t>
      </w:r>
      <w:r w:rsidR="00C66B86">
        <w:rPr>
          <w:rFonts w:hint="eastAsia"/>
        </w:rPr>
        <w:t xml:space="preserve">　　</w:t>
      </w:r>
      <w:r w:rsidR="003D2A9A">
        <w:rPr>
          <w:rFonts w:hint="eastAsia"/>
        </w:rPr>
        <w:t>小学校</w:t>
      </w:r>
      <w:r w:rsidR="00C01629">
        <w:rPr>
          <w:rFonts w:hint="eastAsia"/>
        </w:rPr>
        <w:t>全学年</w:t>
      </w:r>
    </w:p>
    <w:p w:rsidR="004E5726" w:rsidRDefault="004E5726" w:rsidP="004E5726">
      <w:pPr>
        <w:jc w:val="right"/>
      </w:pPr>
      <w:r>
        <w:rPr>
          <w:rFonts w:hint="eastAsia"/>
        </w:rPr>
        <w:t>児童数</w:t>
      </w:r>
      <w:r w:rsidR="00C66B86">
        <w:rPr>
          <w:rFonts w:hint="eastAsia"/>
        </w:rPr>
        <w:t xml:space="preserve">　　</w:t>
      </w:r>
      <w:r>
        <w:rPr>
          <w:rFonts w:hint="eastAsia"/>
        </w:rPr>
        <w:t xml:space="preserve">　　</w:t>
      </w:r>
      <w:r w:rsidR="00E144D8">
        <w:rPr>
          <w:rFonts w:hint="eastAsia"/>
        </w:rPr>
        <w:t xml:space="preserve">　　</w:t>
      </w:r>
      <w:r>
        <w:rPr>
          <w:rFonts w:hint="eastAsia"/>
        </w:rPr>
        <w:t xml:space="preserve">　名</w:t>
      </w:r>
    </w:p>
    <w:p w:rsidR="00C66B86" w:rsidRDefault="004E5726" w:rsidP="004E5726">
      <w:pPr>
        <w:jc w:val="right"/>
      </w:pPr>
      <w:r>
        <w:rPr>
          <w:rFonts w:hint="eastAsia"/>
        </w:rPr>
        <w:t>場所</w:t>
      </w:r>
      <w:r w:rsidR="00C66B86">
        <w:rPr>
          <w:rFonts w:hint="eastAsia"/>
        </w:rPr>
        <w:t xml:space="preserve">　</w:t>
      </w:r>
      <w:r w:rsidR="003D2A9A">
        <w:rPr>
          <w:rFonts w:hint="eastAsia"/>
        </w:rPr>
        <w:t>教室</w:t>
      </w:r>
    </w:p>
    <w:p w:rsidR="004E5726" w:rsidRDefault="004E5726" w:rsidP="00E144D8">
      <w:pPr>
        <w:wordWrap w:val="0"/>
        <w:jc w:val="right"/>
      </w:pPr>
      <w:r>
        <w:rPr>
          <w:rFonts w:hint="eastAsia"/>
        </w:rPr>
        <w:t>指導者</w:t>
      </w:r>
      <w:r w:rsidR="00C66B86">
        <w:rPr>
          <w:rFonts w:hint="eastAsia"/>
        </w:rPr>
        <w:t xml:space="preserve">　　　　全教職員</w:t>
      </w:r>
    </w:p>
    <w:p w:rsidR="00B701C5" w:rsidRPr="004E5726" w:rsidRDefault="00B701C5"/>
    <w:p w:rsidR="004C4A05" w:rsidRPr="004C4A05" w:rsidRDefault="004C4A05" w:rsidP="004C4A05">
      <w:r w:rsidRPr="002F195E">
        <w:rPr>
          <w:rFonts w:hint="eastAsia"/>
          <w:b/>
        </w:rPr>
        <w:t>１　題材名</w:t>
      </w:r>
      <w:r w:rsidRPr="004C4A05">
        <w:rPr>
          <w:rFonts w:hint="eastAsia"/>
        </w:rPr>
        <w:t xml:space="preserve">　「</w:t>
      </w:r>
      <w:r w:rsidR="003D2A9A">
        <w:rPr>
          <w:rFonts w:hint="eastAsia"/>
        </w:rPr>
        <w:t>体験談</w:t>
      </w:r>
      <w:r w:rsidR="00444A93">
        <w:rPr>
          <w:rFonts w:hint="eastAsia"/>
        </w:rPr>
        <w:t>を絵にしよう</w:t>
      </w:r>
      <w:r w:rsidRPr="004C4A05">
        <w:rPr>
          <w:rFonts w:hint="eastAsia"/>
        </w:rPr>
        <w:t>」</w:t>
      </w:r>
    </w:p>
    <w:p w:rsidR="004C4A05" w:rsidRPr="004C4A05" w:rsidRDefault="004C4A05" w:rsidP="004C4A05">
      <w:r w:rsidRPr="004C4A05">
        <w:rPr>
          <w:rFonts w:hint="eastAsia"/>
        </w:rPr>
        <w:t xml:space="preserve">　</w:t>
      </w:r>
    </w:p>
    <w:p w:rsidR="004C4A05" w:rsidRPr="002F195E" w:rsidRDefault="004C4A05" w:rsidP="004C4A05">
      <w:pPr>
        <w:rPr>
          <w:b/>
        </w:rPr>
      </w:pPr>
      <w:r w:rsidRPr="002F195E">
        <w:rPr>
          <w:rFonts w:hint="eastAsia"/>
          <w:b/>
        </w:rPr>
        <w:t>２　題材について</w:t>
      </w:r>
    </w:p>
    <w:p w:rsidR="004C4A05" w:rsidRDefault="004C4A05" w:rsidP="004C4A05"/>
    <w:p w:rsidR="004C4A05" w:rsidRPr="004C4A05" w:rsidRDefault="004C4A05" w:rsidP="004C4A05">
      <w:r w:rsidRPr="004C4A05">
        <w:rPr>
          <w:rFonts w:hint="eastAsia"/>
        </w:rPr>
        <w:t xml:space="preserve">　（１）児童の実態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444A93" w:rsidRDefault="003D2A9A" w:rsidP="004C4A05">
      <w:pPr>
        <w:ind w:leftChars="200" w:left="420" w:firstLineChars="100" w:firstLine="210"/>
      </w:pPr>
      <w:r>
        <w:rPr>
          <w:rFonts w:hint="eastAsia"/>
        </w:rPr>
        <w:t>これ</w:t>
      </w:r>
      <w:r w:rsidR="001935ED">
        <w:rPr>
          <w:rFonts w:hint="eastAsia"/>
        </w:rPr>
        <w:t>ら</w:t>
      </w:r>
      <w:r>
        <w:rPr>
          <w:rFonts w:hint="eastAsia"/>
        </w:rPr>
        <w:t>の分野</w:t>
      </w:r>
      <w:r w:rsidR="001935ED">
        <w:rPr>
          <w:rFonts w:hint="eastAsia"/>
        </w:rPr>
        <w:t>に関する</w:t>
      </w:r>
      <w:r>
        <w:rPr>
          <w:rFonts w:hint="eastAsia"/>
        </w:rPr>
        <w:t>学ぶ知識や技能は、こどもたちの学びたいという気持ち、興味・関心が</w:t>
      </w:r>
      <w:r w:rsidR="001935ED">
        <w:rPr>
          <w:rFonts w:hint="eastAsia"/>
        </w:rPr>
        <w:t>あるから</w:t>
      </w:r>
      <w:r>
        <w:rPr>
          <w:rFonts w:hint="eastAsia"/>
        </w:rPr>
        <w:t>こそ身につくものである。こどもたちに災害の怖さ、命の大切さ、助け合いや思いやりの素晴らしさ、</w:t>
      </w:r>
      <w:r w:rsidR="001935ED">
        <w:rPr>
          <w:rFonts w:hint="eastAsia"/>
        </w:rPr>
        <w:t>備え、救出・救助、医療、ボランティア、支援、友だちのことなど、災害時の様々なシーンについての文章を読ませ</w:t>
      </w:r>
      <w:r w:rsidR="00444A93">
        <w:rPr>
          <w:rFonts w:hint="eastAsia"/>
        </w:rPr>
        <w:t>たり</w:t>
      </w:r>
      <w:r w:rsidR="001935ED">
        <w:rPr>
          <w:rFonts w:hint="eastAsia"/>
        </w:rPr>
        <w:t>、</w:t>
      </w:r>
      <w:r w:rsidR="00444A93">
        <w:rPr>
          <w:rFonts w:hint="eastAsia"/>
        </w:rPr>
        <w:t>実際の体験者の語りを聞かせたりした後、こころの中に生まれたイメージを絵画で表現させたい。</w:t>
      </w:r>
    </w:p>
    <w:p w:rsidR="004C4A05" w:rsidRPr="004C4A05" w:rsidRDefault="001935ED" w:rsidP="004C4A05">
      <w:pPr>
        <w:ind w:leftChars="200" w:left="420" w:firstLineChars="100" w:firstLine="210"/>
      </w:pPr>
      <w:r>
        <w:rPr>
          <w:rFonts w:hint="eastAsia"/>
        </w:rPr>
        <w:t>こころを揺さぶる学習が、こどもたちの災害と防災を学びたいという気持ちを育てていく。</w:t>
      </w:r>
    </w:p>
    <w:p w:rsidR="00B701C5" w:rsidRPr="00B31134" w:rsidRDefault="00B701C5"/>
    <w:p w:rsidR="005247F6" w:rsidRPr="002F195E" w:rsidRDefault="00C33B27">
      <w:pPr>
        <w:rPr>
          <w:b/>
        </w:rPr>
      </w:pPr>
      <w:r w:rsidRPr="002F195E">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2F195E" w:rsidRDefault="00C33B27">
      <w:pPr>
        <w:rPr>
          <w:b/>
        </w:rPr>
      </w:pPr>
      <w:r w:rsidRPr="002F195E">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2F195E">
        <w:trPr>
          <w:trHeight w:val="519"/>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2F195E" w:rsidRDefault="00C33B27">
      <w:pPr>
        <w:rPr>
          <w:b/>
        </w:rPr>
      </w:pPr>
      <w:r w:rsidRPr="002F195E">
        <w:rPr>
          <w:rFonts w:hint="eastAsia"/>
          <w:b/>
        </w:rPr>
        <w:t>５　本時のねらい</w:t>
      </w:r>
    </w:p>
    <w:p w:rsidR="004C4A05" w:rsidRDefault="004C4A05"/>
    <w:p w:rsidR="00215D4F" w:rsidRDefault="00ED6E36" w:rsidP="001935ED">
      <w:pPr>
        <w:ind w:leftChars="100" w:left="210"/>
      </w:pPr>
      <w:r>
        <w:rPr>
          <w:rFonts w:hint="eastAsia"/>
        </w:rPr>
        <w:t xml:space="preserve">　</w:t>
      </w:r>
      <w:r w:rsidR="001935ED">
        <w:rPr>
          <w:rFonts w:hint="eastAsia"/>
        </w:rPr>
        <w:t>災害</w:t>
      </w:r>
      <w:r w:rsidR="00444A93">
        <w:rPr>
          <w:rFonts w:hint="eastAsia"/>
        </w:rPr>
        <w:t>の体験談を絵画で表現する活動を通して、自分を災害の場に置くという疑似体験をさせ、災害の本質を考えさせる。</w:t>
      </w:r>
    </w:p>
    <w:p w:rsidR="00215D4F" w:rsidRPr="00444A93" w:rsidRDefault="00215D4F"/>
    <w:p w:rsidR="00C33B27" w:rsidRPr="002F195E" w:rsidRDefault="00C33B27">
      <w:pPr>
        <w:rPr>
          <w:b/>
        </w:rPr>
      </w:pPr>
      <w:r w:rsidRPr="002F195E">
        <w:rPr>
          <w:rFonts w:hint="eastAsia"/>
          <w:b/>
        </w:rPr>
        <w:lastRenderedPageBreak/>
        <w:t>６　本時の展開</w:t>
      </w:r>
    </w:p>
    <w:p w:rsidR="002A5151" w:rsidRDefault="002A51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1935ED">
              <w:rPr>
                <w:rFonts w:hint="eastAsia"/>
              </w:rPr>
              <w:t>こども</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1D59A1" w:rsidRPr="001D59A1" w:rsidRDefault="001D59A1" w:rsidP="001D59A1">
            <w:pPr>
              <w:ind w:firstLineChars="100" w:firstLine="210"/>
            </w:pPr>
            <w:r>
              <w:rPr>
                <w:rFonts w:hint="eastAsia"/>
              </w:rPr>
              <w:t>教師の説明、指示を聞き、準備する。</w:t>
            </w:r>
          </w:p>
        </w:tc>
        <w:tc>
          <w:tcPr>
            <w:tcW w:w="3027" w:type="dxa"/>
          </w:tcPr>
          <w:p w:rsidR="00B31134" w:rsidRDefault="001935ED" w:rsidP="00122271">
            <w:r>
              <w:rPr>
                <w:rFonts w:hint="eastAsia"/>
              </w:rPr>
              <w:t xml:space="preserve">　こどもたちの発達年齢、読解力に応じて教材（災害に関する文章</w:t>
            </w:r>
            <w:r w:rsidR="00444A93">
              <w:rPr>
                <w:rFonts w:hint="eastAsia"/>
              </w:rPr>
              <w:t>や語り部の体験談</w:t>
            </w:r>
            <w:r>
              <w:rPr>
                <w:rFonts w:hint="eastAsia"/>
              </w:rPr>
              <w:t>）を選ぶ。</w:t>
            </w:r>
          </w:p>
          <w:p w:rsidR="001935ED" w:rsidRPr="00215D4F" w:rsidRDefault="001935ED" w:rsidP="00122271">
            <w:r>
              <w:rPr>
                <w:rFonts w:hint="eastAsia"/>
              </w:rPr>
              <w:t xml:space="preserve">　文章</w:t>
            </w:r>
            <w:r w:rsidR="00444A93">
              <w:rPr>
                <w:rFonts w:hint="eastAsia"/>
              </w:rPr>
              <w:t>や語り</w:t>
            </w:r>
            <w:r>
              <w:rPr>
                <w:rFonts w:hint="eastAsia"/>
              </w:rPr>
              <w:t>の内容は、教訓や知恵を伝えるものだけではなく、感情（喜怒哀楽）を揺さぶるものや、読み手が「戸惑い」を覚えるような内容のものを選ぶとよい。</w:t>
            </w:r>
          </w:p>
        </w:tc>
        <w:tc>
          <w:tcPr>
            <w:tcW w:w="3264" w:type="dxa"/>
          </w:tcPr>
          <w:p w:rsidR="00215D4F" w:rsidRDefault="001D59A1" w:rsidP="00215D4F">
            <w:pPr>
              <w:ind w:firstLineChars="100" w:firstLine="210"/>
            </w:pPr>
            <w:r>
              <w:rPr>
                <w:rFonts w:hint="eastAsia"/>
              </w:rPr>
              <w:t>教師の説明・指示を聞けているか。</w:t>
            </w:r>
          </w:p>
        </w:tc>
      </w:tr>
      <w:tr w:rsidR="001D59A1" w:rsidTr="00444A93">
        <w:trPr>
          <w:cantSplit/>
          <w:trHeight w:val="311"/>
        </w:trPr>
        <w:tc>
          <w:tcPr>
            <w:tcW w:w="582" w:type="dxa"/>
            <w:textDirection w:val="tbRlV"/>
          </w:tcPr>
          <w:p w:rsidR="001D59A1" w:rsidRDefault="001D59A1" w:rsidP="00B0302C">
            <w:pPr>
              <w:ind w:left="113" w:right="113"/>
              <w:jc w:val="center"/>
            </w:pPr>
            <w:r>
              <w:rPr>
                <w:rFonts w:hint="eastAsia"/>
              </w:rPr>
              <w:t>展開</w:t>
            </w:r>
          </w:p>
        </w:tc>
        <w:tc>
          <w:tcPr>
            <w:tcW w:w="2755" w:type="dxa"/>
          </w:tcPr>
          <w:p w:rsidR="009C4B08" w:rsidRPr="009C4B08" w:rsidRDefault="00444A93" w:rsidP="001D59A1">
            <w:r>
              <w:rPr>
                <w:rFonts w:hint="eastAsia"/>
              </w:rPr>
              <w:t xml:space="preserve">　読んだ内容、聞いた内容を考えながら、絵に表現する。</w:t>
            </w:r>
          </w:p>
        </w:tc>
        <w:tc>
          <w:tcPr>
            <w:tcW w:w="3027" w:type="dxa"/>
          </w:tcPr>
          <w:p w:rsidR="00AF6665" w:rsidRPr="00215D4F" w:rsidRDefault="00444A93" w:rsidP="009C4B08">
            <w:r>
              <w:rPr>
                <w:rFonts w:hint="eastAsia"/>
              </w:rPr>
              <w:t xml:space="preserve">　読んだ内容、聞いた内容を絵に表現させる。</w:t>
            </w:r>
          </w:p>
        </w:tc>
        <w:tc>
          <w:tcPr>
            <w:tcW w:w="3264" w:type="dxa"/>
          </w:tcPr>
          <w:p w:rsidR="009C4B08" w:rsidRPr="00215D4F" w:rsidRDefault="00444A93" w:rsidP="00512C43">
            <w:r>
              <w:rPr>
                <w:rFonts w:hint="eastAsia"/>
              </w:rPr>
              <w:t xml:space="preserve">　</w:t>
            </w:r>
          </w:p>
        </w:tc>
      </w:tr>
      <w:tr w:rsidR="005B2E82" w:rsidTr="009C4B08">
        <w:trPr>
          <w:cantSplit/>
          <w:trHeight w:val="47"/>
        </w:trPr>
        <w:tc>
          <w:tcPr>
            <w:tcW w:w="582" w:type="dxa"/>
            <w:textDirection w:val="tbRlV"/>
          </w:tcPr>
          <w:p w:rsidR="005B2E82" w:rsidRDefault="005B2E82" w:rsidP="0064149A">
            <w:pPr>
              <w:ind w:left="113" w:right="113"/>
              <w:jc w:val="center"/>
            </w:pPr>
            <w:r>
              <w:rPr>
                <w:rFonts w:hint="eastAsia"/>
              </w:rPr>
              <w:t>まとめ</w:t>
            </w:r>
          </w:p>
        </w:tc>
        <w:tc>
          <w:tcPr>
            <w:tcW w:w="2755" w:type="dxa"/>
          </w:tcPr>
          <w:p w:rsidR="005B2E82" w:rsidRDefault="009C4B08" w:rsidP="0064149A">
            <w:pPr>
              <w:ind w:firstLineChars="100" w:firstLine="210"/>
            </w:pPr>
            <w:r>
              <w:rPr>
                <w:rFonts w:hint="eastAsia"/>
              </w:rPr>
              <w:t>教師のまとめを聞く。</w:t>
            </w:r>
          </w:p>
        </w:tc>
        <w:tc>
          <w:tcPr>
            <w:tcW w:w="3027" w:type="dxa"/>
          </w:tcPr>
          <w:p w:rsidR="005B2E82" w:rsidRPr="00B33AEF" w:rsidRDefault="009C4B08" w:rsidP="005B2E82">
            <w:pPr>
              <w:ind w:firstLineChars="100" w:firstLine="210"/>
            </w:pPr>
            <w:r>
              <w:rPr>
                <w:rFonts w:hint="eastAsia"/>
              </w:rPr>
              <w:t>こどもたちの</w:t>
            </w:r>
            <w:r w:rsidR="00444A93">
              <w:rPr>
                <w:rFonts w:hint="eastAsia"/>
              </w:rPr>
              <w:t>絵</w:t>
            </w:r>
            <w:r>
              <w:rPr>
                <w:rFonts w:hint="eastAsia"/>
              </w:rPr>
              <w:t>にコメントを述べる。良しあしを述べるのではなく、教師の率直な感想を言う。</w:t>
            </w:r>
          </w:p>
        </w:tc>
        <w:tc>
          <w:tcPr>
            <w:tcW w:w="3264" w:type="dxa"/>
          </w:tcPr>
          <w:p w:rsidR="005B2E82" w:rsidRDefault="009C4B08" w:rsidP="0064149A">
            <w:r>
              <w:rPr>
                <w:rFonts w:hint="eastAsia"/>
              </w:rPr>
              <w:t xml:space="preserve">　コメントを集中して聞けているか。</w:t>
            </w:r>
          </w:p>
          <w:p w:rsidR="00444A93" w:rsidRDefault="00444A93" w:rsidP="0064149A"/>
        </w:tc>
      </w:tr>
    </w:tbl>
    <w:p w:rsidR="00A25AE8" w:rsidRDefault="00A25AE8"/>
    <w:p w:rsidR="00A25AE8" w:rsidRPr="002F195E" w:rsidRDefault="00A25AE8">
      <w:pPr>
        <w:rPr>
          <w:b/>
        </w:rPr>
      </w:pPr>
      <w:r w:rsidRPr="002F195E">
        <w:rPr>
          <w:rFonts w:hint="eastAsia"/>
          <w:b/>
        </w:rPr>
        <w:t>７　事後の指導</w:t>
      </w:r>
    </w:p>
    <w:p w:rsidR="002A5151" w:rsidRDefault="002A5151">
      <w:bookmarkStart w:id="0" w:name="_GoBack"/>
      <w:bookmarkEnd w:id="0"/>
    </w:p>
    <w:tbl>
      <w:tblPr>
        <w:tblStyle w:val="a5"/>
        <w:tblW w:w="0" w:type="auto"/>
        <w:tblLook w:val="04A0" w:firstRow="1" w:lastRow="0" w:firstColumn="1" w:lastColumn="0" w:noHBand="0" w:noVBand="1"/>
      </w:tblPr>
      <w:tblGrid>
        <w:gridCol w:w="3208"/>
        <w:gridCol w:w="3210"/>
        <w:gridCol w:w="3210"/>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9C4B08">
        <w:trPr>
          <w:trHeight w:val="47"/>
        </w:trPr>
        <w:tc>
          <w:tcPr>
            <w:tcW w:w="3249" w:type="dxa"/>
          </w:tcPr>
          <w:p w:rsidR="00B33AEF" w:rsidRDefault="00B33AEF" w:rsidP="00DA31A7">
            <w:pPr>
              <w:ind w:firstLineChars="100" w:firstLine="210"/>
            </w:pPr>
          </w:p>
        </w:tc>
        <w:tc>
          <w:tcPr>
            <w:tcW w:w="3249" w:type="dxa"/>
          </w:tcPr>
          <w:p w:rsidR="00BF7567" w:rsidRDefault="00444A93" w:rsidP="00ED600A">
            <w:pPr>
              <w:ind w:firstLineChars="100" w:firstLine="210"/>
            </w:pPr>
            <w:r>
              <w:rPr>
                <w:rFonts w:hint="eastAsia"/>
              </w:rPr>
              <w:t>全員の絵を教室に</w:t>
            </w:r>
            <w:r w:rsidR="00243662">
              <w:rPr>
                <w:rFonts w:hint="eastAsia"/>
              </w:rPr>
              <w:t>掲示し</w:t>
            </w:r>
            <w:r>
              <w:rPr>
                <w:rFonts w:hint="eastAsia"/>
              </w:rPr>
              <w:t>、だれもが鑑賞できるようにする。</w:t>
            </w:r>
          </w:p>
        </w:tc>
        <w:tc>
          <w:tcPr>
            <w:tcW w:w="3249" w:type="dxa"/>
          </w:tcPr>
          <w:p w:rsidR="00BF7567" w:rsidRPr="00A25AE8" w:rsidRDefault="00243662" w:rsidP="00ED600A">
            <w:pPr>
              <w:ind w:firstLineChars="100" w:firstLine="210"/>
            </w:pPr>
            <w:r>
              <w:rPr>
                <w:rFonts w:hint="eastAsia"/>
              </w:rPr>
              <w:t>他者の描いた絵に関心を持っているか。</w:t>
            </w:r>
          </w:p>
        </w:tc>
      </w:tr>
    </w:tbl>
    <w:p w:rsidR="00277CD0" w:rsidRPr="00243662"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40E" w:rsidRDefault="0091340E" w:rsidP="00102B11">
      <w:r>
        <w:separator/>
      </w:r>
    </w:p>
  </w:endnote>
  <w:endnote w:type="continuationSeparator" w:id="0">
    <w:p w:rsidR="0091340E" w:rsidRDefault="0091340E"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40E" w:rsidRDefault="0091340E" w:rsidP="00102B11">
      <w:r>
        <w:separator/>
      </w:r>
    </w:p>
  </w:footnote>
  <w:footnote w:type="continuationSeparator" w:id="0">
    <w:p w:rsidR="0091340E" w:rsidRDefault="0091340E"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765F4"/>
    <w:rsid w:val="00183809"/>
    <w:rsid w:val="001935ED"/>
    <w:rsid w:val="0019542A"/>
    <w:rsid w:val="00197292"/>
    <w:rsid w:val="001A1733"/>
    <w:rsid w:val="001A60ED"/>
    <w:rsid w:val="001B4216"/>
    <w:rsid w:val="001D4A01"/>
    <w:rsid w:val="001D59A1"/>
    <w:rsid w:val="001F03CE"/>
    <w:rsid w:val="00215D4F"/>
    <w:rsid w:val="002240B5"/>
    <w:rsid w:val="00230420"/>
    <w:rsid w:val="00243662"/>
    <w:rsid w:val="00260A64"/>
    <w:rsid w:val="00277CD0"/>
    <w:rsid w:val="0028316C"/>
    <w:rsid w:val="00294FAB"/>
    <w:rsid w:val="002A5151"/>
    <w:rsid w:val="002E3189"/>
    <w:rsid w:val="002F195E"/>
    <w:rsid w:val="003442D7"/>
    <w:rsid w:val="00357290"/>
    <w:rsid w:val="00361E68"/>
    <w:rsid w:val="00362211"/>
    <w:rsid w:val="00382B75"/>
    <w:rsid w:val="00394791"/>
    <w:rsid w:val="003D2A9A"/>
    <w:rsid w:val="003E2830"/>
    <w:rsid w:val="003F63F7"/>
    <w:rsid w:val="00422142"/>
    <w:rsid w:val="004351A2"/>
    <w:rsid w:val="00444A93"/>
    <w:rsid w:val="004C4A05"/>
    <w:rsid w:val="004E3FEA"/>
    <w:rsid w:val="004E5726"/>
    <w:rsid w:val="004F1343"/>
    <w:rsid w:val="004F5917"/>
    <w:rsid w:val="00506DCF"/>
    <w:rsid w:val="00512C43"/>
    <w:rsid w:val="005247F6"/>
    <w:rsid w:val="00544432"/>
    <w:rsid w:val="00594FFB"/>
    <w:rsid w:val="005B2E82"/>
    <w:rsid w:val="005C1BC9"/>
    <w:rsid w:val="005E7387"/>
    <w:rsid w:val="006245F6"/>
    <w:rsid w:val="006276CF"/>
    <w:rsid w:val="0064149A"/>
    <w:rsid w:val="00652315"/>
    <w:rsid w:val="006774A3"/>
    <w:rsid w:val="00682663"/>
    <w:rsid w:val="006B423D"/>
    <w:rsid w:val="006F603B"/>
    <w:rsid w:val="0070240E"/>
    <w:rsid w:val="00752178"/>
    <w:rsid w:val="00765BA2"/>
    <w:rsid w:val="00772CF1"/>
    <w:rsid w:val="007762E1"/>
    <w:rsid w:val="007768B0"/>
    <w:rsid w:val="007A5EE1"/>
    <w:rsid w:val="007C7F38"/>
    <w:rsid w:val="00886290"/>
    <w:rsid w:val="008D163C"/>
    <w:rsid w:val="00907DBD"/>
    <w:rsid w:val="0091340E"/>
    <w:rsid w:val="00932872"/>
    <w:rsid w:val="0095025C"/>
    <w:rsid w:val="009773FF"/>
    <w:rsid w:val="009A7843"/>
    <w:rsid w:val="009C4B08"/>
    <w:rsid w:val="009D2B21"/>
    <w:rsid w:val="009F3BC6"/>
    <w:rsid w:val="00A25AE8"/>
    <w:rsid w:val="00A56C1B"/>
    <w:rsid w:val="00AA1020"/>
    <w:rsid w:val="00AF6665"/>
    <w:rsid w:val="00B0302C"/>
    <w:rsid w:val="00B20C37"/>
    <w:rsid w:val="00B31134"/>
    <w:rsid w:val="00B33AEF"/>
    <w:rsid w:val="00B51A3A"/>
    <w:rsid w:val="00B701C5"/>
    <w:rsid w:val="00B71F41"/>
    <w:rsid w:val="00B81EAA"/>
    <w:rsid w:val="00B82FA1"/>
    <w:rsid w:val="00BA18B6"/>
    <w:rsid w:val="00BC1542"/>
    <w:rsid w:val="00BC74B4"/>
    <w:rsid w:val="00BD11F5"/>
    <w:rsid w:val="00BF7567"/>
    <w:rsid w:val="00C01629"/>
    <w:rsid w:val="00C01CE3"/>
    <w:rsid w:val="00C3345A"/>
    <w:rsid w:val="00C33B27"/>
    <w:rsid w:val="00C66B86"/>
    <w:rsid w:val="00CA0C05"/>
    <w:rsid w:val="00CC1A2E"/>
    <w:rsid w:val="00CD3C28"/>
    <w:rsid w:val="00CF5174"/>
    <w:rsid w:val="00D06D3E"/>
    <w:rsid w:val="00D13947"/>
    <w:rsid w:val="00D16D0F"/>
    <w:rsid w:val="00DA31A7"/>
    <w:rsid w:val="00DA5BA6"/>
    <w:rsid w:val="00E144D8"/>
    <w:rsid w:val="00E27839"/>
    <w:rsid w:val="00E36695"/>
    <w:rsid w:val="00E61D8E"/>
    <w:rsid w:val="00E95D2C"/>
    <w:rsid w:val="00EA6352"/>
    <w:rsid w:val="00EC52AB"/>
    <w:rsid w:val="00ED600A"/>
    <w:rsid w:val="00ED6E36"/>
    <w:rsid w:val="00F07350"/>
    <w:rsid w:val="00F0778D"/>
    <w:rsid w:val="00F12AA2"/>
    <w:rsid w:val="00F31B87"/>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4</cp:revision>
  <cp:lastPrinted>2017-07-11T10:16:00Z</cp:lastPrinted>
  <dcterms:created xsi:type="dcterms:W3CDTF">2018-06-03T00:32:00Z</dcterms:created>
  <dcterms:modified xsi:type="dcterms:W3CDTF">2020-06-07T10:34:00Z</dcterms:modified>
</cp:coreProperties>
</file>